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EF" w:rsidRDefault="00BC009C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uk-UA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6F57EF">
        <w:rPr>
          <w:rFonts w:ascii="Times New Roman" w:hAnsi="Times New Roman" w:cs="Times New Roman"/>
          <w:kern w:val="0"/>
          <w:sz w:val="28"/>
          <w:szCs w:val="28"/>
          <w:lang w:val="uk-UA"/>
        </w:rPr>
        <w:t xml:space="preserve">                              </w:t>
      </w:r>
    </w:p>
    <w:p w:rsidR="0003701F" w:rsidRPr="0003701F" w:rsidRDefault="0003701F" w:rsidP="0003701F">
      <w:pPr>
        <w:widowControl w:val="0"/>
        <w:spacing w:before="33" w:after="0"/>
        <w:ind w:right="-2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color w:val="000000"/>
          <w:w w:val="99"/>
          <w:sz w:val="28"/>
          <w:szCs w:val="28"/>
        </w:rPr>
        <w:t xml:space="preserve">                                                                          </w:t>
      </w:r>
      <w:r>
        <w:rPr>
          <w:color w:val="000000"/>
          <w:w w:val="99"/>
          <w:sz w:val="28"/>
          <w:szCs w:val="28"/>
          <w:lang w:val="uk-UA"/>
        </w:rPr>
        <w:t xml:space="preserve">       </w:t>
      </w:r>
      <w:r>
        <w:rPr>
          <w:color w:val="000000"/>
          <w:w w:val="99"/>
          <w:sz w:val="28"/>
          <w:szCs w:val="28"/>
        </w:rPr>
        <w:t xml:space="preserve">  </w:t>
      </w:r>
      <w:r w:rsidRPr="0003701F">
        <w:rPr>
          <w:rFonts w:ascii="Times New Roman" w:hAnsi="Times New Roman" w:cs="Times New Roman"/>
          <w:kern w:val="0"/>
          <w:sz w:val="28"/>
          <w:szCs w:val="28"/>
          <w:lang w:val="ru-RU"/>
        </w:rPr>
        <w:t>Додат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ок 2</w:t>
      </w:r>
    </w:p>
    <w:p w:rsidR="0003701F" w:rsidRPr="0003701F" w:rsidRDefault="0003701F" w:rsidP="0003701F">
      <w:pPr>
        <w:widowControl w:val="0"/>
        <w:spacing w:before="1" w:after="0"/>
        <w:ind w:right="26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3701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                                                                        до </w:t>
      </w:r>
      <w:proofErr w:type="gramStart"/>
      <w:r w:rsidRPr="0003701F">
        <w:rPr>
          <w:rFonts w:ascii="Times New Roman" w:hAnsi="Times New Roman" w:cs="Times New Roman"/>
          <w:kern w:val="0"/>
          <w:sz w:val="28"/>
          <w:szCs w:val="28"/>
          <w:lang w:val="ru-RU"/>
        </w:rPr>
        <w:t>р</w:t>
      </w:r>
      <w:proofErr w:type="gramEnd"/>
      <w:r w:rsidRPr="0003701F">
        <w:rPr>
          <w:rFonts w:ascii="Times New Roman" w:hAnsi="Times New Roman" w:cs="Times New Roman"/>
          <w:kern w:val="0"/>
          <w:sz w:val="28"/>
          <w:szCs w:val="28"/>
          <w:lang w:val="ru-RU"/>
        </w:rPr>
        <w:t>ішення виконавчого комітету</w:t>
      </w:r>
    </w:p>
    <w:p w:rsidR="0003701F" w:rsidRPr="0003701F" w:rsidRDefault="0003701F" w:rsidP="0003701F">
      <w:pPr>
        <w:widowControl w:val="0"/>
        <w:spacing w:before="1" w:after="0"/>
        <w:ind w:right="26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3701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  </w:t>
      </w:r>
      <w:r w:rsidRPr="0003701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Бродівської міської </w:t>
      </w:r>
      <w:proofErr w:type="gramStart"/>
      <w:r w:rsidRPr="0003701F">
        <w:rPr>
          <w:rFonts w:ascii="Times New Roman" w:hAnsi="Times New Roman" w:cs="Times New Roman"/>
          <w:kern w:val="0"/>
          <w:sz w:val="28"/>
          <w:szCs w:val="28"/>
          <w:lang w:val="ru-RU"/>
        </w:rPr>
        <w:t>ради</w:t>
      </w:r>
      <w:proofErr w:type="gramEnd"/>
    </w:p>
    <w:p w:rsidR="0003701F" w:rsidRPr="0003701F" w:rsidRDefault="0003701F" w:rsidP="0003701F">
      <w:pPr>
        <w:widowControl w:val="0"/>
        <w:spacing w:after="0"/>
        <w:ind w:right="-20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3701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  </w:t>
      </w:r>
      <w:r w:rsidRPr="0003701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від 12 грудня 2023 р.№ 406/02-02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:rsidR="00BC009C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                                               </w:t>
      </w:r>
      <w:r w:rsidR="00BC009C" w:rsidRPr="006F57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ПОЛОЖЕННЯ</w:t>
      </w:r>
    </w:p>
    <w:p w:rsidR="00BC009C" w:rsidRPr="006F57EF" w:rsidRDefault="00BC009C" w:rsidP="006F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про порядок організації та функціонування міждисциплінарної команди</w:t>
      </w:r>
    </w:p>
    <w:p w:rsidR="00BC009C" w:rsidRDefault="00BC009C" w:rsidP="006F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з питань </w:t>
      </w:r>
      <w:proofErr w:type="gramStart"/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іального захисту дітей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:rsidR="00BC009C" w:rsidRPr="006F57EF" w:rsidRDefault="00BC009C" w:rsidP="00010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</w:rPr>
        <w:t>I</w:t>
      </w:r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. Загальна частина</w:t>
      </w:r>
    </w:p>
    <w:p w:rsidR="00010BE7" w:rsidRPr="006F57EF" w:rsidRDefault="00BC009C" w:rsidP="00010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1. Дане положення регулює питання створення та організації</w:t>
      </w:r>
      <w:r w:rsidR="00010BE7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функціонування в </w:t>
      </w:r>
      <w:r w:rsidR="00010BE7">
        <w:rPr>
          <w:rFonts w:ascii="Times New Roman" w:hAnsi="Times New Roman" w:cs="Times New Roman"/>
          <w:kern w:val="0"/>
          <w:sz w:val="28"/>
          <w:szCs w:val="28"/>
          <w:lang w:val="ru-RU"/>
        </w:rPr>
        <w:t>Бродівській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міській територіальній громаді</w:t>
      </w:r>
      <w:r w:rsidR="00010BE7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міждисциплінарної команди спеціалі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ст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ів із питань виявлення та здійснення</w:t>
      </w:r>
      <w:r w:rsidR="00010BE7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заходів соціального захисту дітей, які перебувають у складних життєвих</w:t>
      </w:r>
      <w:r w:rsidR="00010BE7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обставинах.</w:t>
      </w:r>
    </w:p>
    <w:p w:rsidR="00BC009C" w:rsidRPr="006F57EF" w:rsidRDefault="00BC009C" w:rsidP="00010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2. Положення розроблене з метою забезпечення своєчасних та</w:t>
      </w:r>
      <w:r w:rsidR="00010BE7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узгоджених дій суб’єктів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іального захисту дітей в процесі виявлення дітей,</w:t>
      </w:r>
    </w:p>
    <w:p w:rsidR="00BC009C" w:rsidRPr="006F57EF" w:rsidRDefault="00BC009C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які перебувають у складних життєвих обставинах, перш за все тих, які</w:t>
      </w:r>
      <w:r w:rsidR="00010BE7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потерпають від домашнього насильства, жорстокого поводження, недогляду,</w:t>
      </w:r>
    </w:p>
    <w:p w:rsidR="00010BE7" w:rsidRPr="006F57EF" w:rsidRDefault="00BC009C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бул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інгу, організації надання їм своєчасної підтримки та захисту із</w:t>
      </w:r>
      <w:r w:rsidR="00010BE7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врахуванням найкращих інтересів конкретної дитини.</w:t>
      </w:r>
    </w:p>
    <w:p w:rsidR="00BC009C" w:rsidRPr="006F57EF" w:rsidRDefault="00BC009C" w:rsidP="00010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3.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ідставою для розробки Положення є пункти 20 і 21 Порядку</w:t>
      </w:r>
    </w:p>
    <w:p w:rsidR="00BC009C" w:rsidRPr="006F57EF" w:rsidRDefault="00BC009C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забезпечення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іального захисту дітей, які перебувають у складних життєвих</w:t>
      </w:r>
    </w:p>
    <w:p w:rsidR="00BC009C" w:rsidRPr="006F57EF" w:rsidRDefault="00BC009C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обставинах,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у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тому числі дітей, які постраждали від жорстокого поводження,</w:t>
      </w:r>
    </w:p>
    <w:p w:rsidR="00010BE7" w:rsidRDefault="00BC009C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затвердженого постановою Кабінету Міні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стр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ів України від 01.06.2020 року</w:t>
      </w:r>
      <w:r w:rsidR="00010BE7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</w:p>
    <w:p w:rsidR="006F57EF" w:rsidRPr="006F57EF" w:rsidRDefault="00BC009C" w:rsidP="00010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№ 585 «Про забезпечення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іального захисту дітей, які перебувають у</w:t>
      </w:r>
      <w:r w:rsidR="00010BE7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складних життєвих обставинах» (далі - постанова № 585), з урахуванням</w:t>
      </w:r>
      <w:r w:rsidR="00010BE7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відповідних положень Законів України «Про місцеве самоврядування в</w:t>
      </w:r>
      <w:r w:rsidR="00010BE7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Україні», «Про охорону дитинства».</w:t>
      </w:r>
    </w:p>
    <w:p w:rsidR="001E5D76" w:rsidRPr="006F57EF" w:rsidRDefault="00BC009C" w:rsidP="00010BE7">
      <w:pPr>
        <w:spacing w:after="0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4. У Положенні терміни вживаються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в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такому значенні</w:t>
      </w:r>
      <w:r w:rsidR="006F57EF"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:</w:t>
      </w:r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</w:t>
      </w:r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складні життєві обставини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, в яких перебуває дитина, - умови, що</w:t>
      </w:r>
      <w:r w:rsidR="00010BE7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негативно впливають на життя дитини, стан її здоров’я та розвиток</w:t>
      </w:r>
      <w:r w:rsidR="00010BE7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(інвалідність, тяжка хвороба, безпритульність, перебування у конфлікті із</w:t>
      </w:r>
      <w:r w:rsidR="00010BE7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законом, залучення до найгірших форм дитячої праці, залежність від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психотропних речовин, інші види залежності; жорстоке поводження, зокрема</w:t>
      </w:r>
      <w:proofErr w:type="gramEnd"/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домашнє насильство, у тому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числі у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разі, коли кривдником є дитина; ухиляння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батьків,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осіб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, які їх замінюють, від виконання своїх обов’язків; обставини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стихійного лиха, техногенних аварій, катастроф, воєнних дій чи збройних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lastRenderedPageBreak/>
        <w:t>конфліктів тощо), установлені за результатами оцінювання потреб дитини та</w:t>
      </w:r>
      <w:proofErr w:type="gramEnd"/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її сім’ї у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іальних послугах;</w:t>
      </w:r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</w:t>
      </w:r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жорстоке поводження з дитиною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- будь-які форми фізичного,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психологічного,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сексуального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або економічного насильства над дитиною,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зокрема домашнього насильства, а також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будь-як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 незаконні угоди стосовно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дитини, зокрема вербування, переміщення, переховування, передача або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одержання дитини,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вчинен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 з метою її експлуатації з використанням обману,</w:t>
      </w:r>
    </w:p>
    <w:p w:rsidR="006F57EF" w:rsidRPr="006F57EF" w:rsidRDefault="006F57EF" w:rsidP="00A5086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шантажу чи уразливого стану дитини;</w:t>
      </w:r>
    </w:p>
    <w:p w:rsidR="006F57EF" w:rsidRPr="006F57EF" w:rsidRDefault="00A50864" w:rsidP="00A508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A50864">
        <w:rPr>
          <w:rFonts w:ascii="Times New Roman" w:hAnsi="Times New Roman" w:cs="Times New Roman"/>
          <w:b/>
          <w:color w:val="000000"/>
          <w:kern w:val="0"/>
          <w:sz w:val="28"/>
          <w:szCs w:val="28"/>
          <w:lang w:val="ru-RU"/>
        </w:rPr>
        <w:t>- загроза життю або здоров</w:t>
      </w:r>
      <w:r w:rsidRPr="00A50864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’</w:t>
      </w:r>
      <w:r w:rsidRPr="00A50864">
        <w:rPr>
          <w:rFonts w:ascii="Times New Roman" w:hAnsi="Times New Roman" w:cs="Times New Roman"/>
          <w:b/>
          <w:color w:val="000000"/>
          <w:kern w:val="0"/>
          <w:sz w:val="28"/>
          <w:szCs w:val="28"/>
          <w:lang w:val="ru-RU"/>
        </w:rPr>
        <w:t>ю дитини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– обставини, що можуть призвести чи </w:t>
      </w:r>
      <w:r w:rsidR="006F57EF"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призвели до </w:t>
      </w:r>
      <w:proofErr w:type="gramStart"/>
      <w:r w:rsidR="006F57EF"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тяжких</w:t>
      </w:r>
      <w:proofErr w:type="gramEnd"/>
      <w:r w:rsidR="006F57EF"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наслідків для життя, стану здоров’я та розвитку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="006F57EF"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дитини, зокрема тяжкої, у тому числі невиліковної хвороби, тілесних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ушкоджень або заподіяння шкоди </w:t>
      </w:r>
      <w:proofErr w:type="gramStart"/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нормальному</w:t>
      </w:r>
      <w:proofErr w:type="gramEnd"/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фізичному, психічному</w:t>
      </w:r>
      <w:r w:rsidR="00A50864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розвитку дитини, у зв’язку з чим вона потребує допомоги;</w:t>
      </w:r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- </w:t>
      </w:r>
      <w:r w:rsidRPr="006F57E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обставини можуть бути розцінені, як загроза життю або здоров’ю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дитини відповідно до </w:t>
      </w:r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її індивідуальних особливостей і потреб, віку, </w:t>
      </w:r>
      <w:proofErr w:type="gramStart"/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стат</w:t>
      </w:r>
      <w:proofErr w:type="gramEnd"/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і,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стану здоров’я, інвалідності, особливостей розвитку, життєвого досвіду,</w:t>
      </w:r>
      <w:r w:rsidR="00A50864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родинної, культурної належності та етнічного походження за результатами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проведення оцінки </w:t>
      </w:r>
      <w:proofErr w:type="gramStart"/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</w:t>
      </w:r>
      <w:proofErr w:type="gramEnd"/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івня її безпеки та складання відповідного акту згідно</w:t>
      </w:r>
      <w:r w:rsidR="00A50864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з </w:t>
      </w:r>
      <w:r w:rsidRPr="006F57EF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 xml:space="preserve">додатком 10 </w:t>
      </w:r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до Порядку провадження органами опіки та піклування</w:t>
      </w:r>
      <w:r w:rsidR="00A50864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діяльності, пов’язаної із захистом прав дитини, затвердженого постановою</w:t>
      </w:r>
      <w:r w:rsidR="00A50864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Кабінету Міністрів України від 24 вересня 2008 р. № 866, із подальшими</w:t>
      </w:r>
      <w:r w:rsidR="00A50864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змінами (далі - оцінка рівня </w:t>
      </w:r>
      <w:proofErr w:type="gramStart"/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безпеки дитини).</w:t>
      </w:r>
      <w:proofErr w:type="gramEnd"/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- </w:t>
      </w:r>
      <w:r w:rsidRPr="006F57E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суб’єктами виявлення та/або організації </w:t>
      </w:r>
      <w:proofErr w:type="gramStart"/>
      <w:r w:rsidRPr="006F57E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іального захисту дітей,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які перебувають у складних життєвих обставинах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та проживають або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перебувають на території 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>Бродівської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міської територіальної громади, є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працівники органів місцевого самоврядування, зокрема структурних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ідрозділів територіальної громади з питань освіти, охорони здоров’я,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соціального захисту населення, здійснення заходів у сфері запобігання та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протидії домашньому насильству і насильству за ознакою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стат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 тощо, служби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у справах дітей; закладів освіти, охорони здоров’я,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іального захисту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населення, центру соціальних служб, інших закладів та установ, фахівці із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соціальної роботи або інші надавачі соціальних послуг, у тому числі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недержавні, органи Національної поліції, територіальні органи ДСНС та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ідпорядковані їм підрозділи, спеціалізовані установи з надання безоплатної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первинної правової допомоги, інші загальні та спеціалізовані служби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підтримки осіб, постраждалих від домашнього насильства і насильства за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ознакою статі, відповідно до Закону України “Про запобігання та протидію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домашньому насильству” в межах своїх повноважень (далі - суб’єкти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виявлення та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іального захисту дітей);</w:t>
      </w:r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</w:t>
      </w:r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міждисциплінарна команда спеціалі</w:t>
      </w:r>
      <w:proofErr w:type="gramStart"/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ст</w:t>
      </w:r>
      <w:proofErr w:type="gramEnd"/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ів територіальної громади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із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lastRenderedPageBreak/>
        <w:t>виявлення та захисту дітей, які перебувають в складних життєвих обставинах,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- команда делегованих суб’єктами спеціалі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ст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ів для забезпечення своєчасного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виявлення дітей, які перебувають у складних життєвих обставинах та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здійснення заходів із їхнього захисту (далі – МДК громади);</w:t>
      </w:r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</w:t>
      </w:r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міждисциплінарна команда ведення випадку дитини (далі - МДК</w:t>
      </w:r>
      <w:proofErr w:type="gramEnd"/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випадку),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яка потрапила в складні життєві обставини, - група спеціалі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ст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ів із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числа МДК громади, утворена наказом служби у справах дітей для розробки і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реалізації індивідуального плану захисту конкретної дитини, яка перебуває в</w:t>
      </w:r>
    </w:p>
    <w:p w:rsidR="00A50864" w:rsidRDefault="006F57EF" w:rsidP="00A5086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</w:rPr>
        <w:t>складних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</w:rPr>
        <w:t xml:space="preserve"> життєвих обставинах.</w:t>
      </w:r>
    </w:p>
    <w:p w:rsidR="006F57EF" w:rsidRPr="00A50864" w:rsidRDefault="006F57EF" w:rsidP="00A50864">
      <w:pPr>
        <w:spacing w:after="0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5. Інші терміни вживаються у значенні, наведеному в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С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імейному,</w:t>
      </w:r>
      <w:r w:rsidR="00A50864">
        <w:rPr>
          <w:rFonts w:ascii="Times New Roman" w:hAnsi="Times New Roman" w:cs="Times New Roman"/>
          <w:kern w:val="0"/>
          <w:sz w:val="28"/>
          <w:szCs w:val="28"/>
          <w:lang w:val="uk-UA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Кримінальному та Кримінальному процесуальному кодексах України, Кодексі</w:t>
      </w:r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України про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адм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іністративні правопорушення, Законах України “Про охорону</w:t>
      </w:r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дитинства”, “Про запобігання та протидію домашньому насильству”, “Про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Національну поліцію”, “Про органи і служби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у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справах дітей та спеціальні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установи для дітей”, “Про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іальні послуги”, “Про захист суспільної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моралі”, “Про протидію тор</w:t>
      </w:r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гівлі людьми”, постанові № 585.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Діяльність членів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МДК громади спрямована на забезпечення своєчасного виявлення та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іального захисту дітей, які перебувають у складних життєвих обставинах,</w:t>
      </w:r>
      <w:r w:rsidR="00A5086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та провадиться з дотриманням таких принципів:</w:t>
      </w:r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повага до честі, гідності дитини та неупередженого ставлення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до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неї та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її батьків/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осіб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, які їх замінюють;</w:t>
      </w:r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забезпечення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пр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іоритетності прав, інтересів та безпеки дитини під час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здійснення заходів її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іального захисту;</w:t>
      </w:r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- недопущення дискримінації дитини;</w:t>
      </w:r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урахування думки дитини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ід час вирішення питань, що її стосуються;</w:t>
      </w:r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- забезпечення конфіденційності інформації про дитину, яка перебуває у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складних життєвих обставинах,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осіб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, які її виявили, з дотриманням</w:t>
      </w:r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вимог Закону України “Про захист персональних даних”;</w:t>
      </w:r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ефективний обмін інформацією і взаємодія суб’єктів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між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собою та з</w:t>
      </w:r>
    </w:p>
    <w:p w:rsidR="006F57EF" w:rsidRPr="006F57EF" w:rsidRDefault="006F57EF" w:rsidP="006F57EF">
      <w:pPr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</w:rPr>
        <w:t>інститутами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</w:rPr>
        <w:t xml:space="preserve"> громадянського суспільства.</w:t>
      </w:r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</w:rPr>
        <w:t>II</w:t>
      </w:r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. Порядок створення та функціонування</w:t>
      </w:r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proofErr w:type="gramStart"/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м</w:t>
      </w:r>
      <w:proofErr w:type="gramEnd"/>
      <w:r w:rsidRPr="006F57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іждисциплінарної команди</w:t>
      </w:r>
    </w:p>
    <w:p w:rsidR="006F57EF" w:rsidRPr="006F57EF" w:rsidRDefault="006F57EF" w:rsidP="00A508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6. МДК громади створюється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р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ішенням виконавчого комітету</w:t>
      </w:r>
    </w:p>
    <w:p w:rsidR="006F57EF" w:rsidRPr="006F57EF" w:rsidRDefault="00A50864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Бродівської</w:t>
      </w:r>
      <w:r w:rsidR="006F57EF"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міської </w:t>
      </w:r>
      <w:proofErr w:type="gramStart"/>
      <w:r w:rsidR="006F57EF"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ради</w:t>
      </w:r>
      <w:proofErr w:type="gramEnd"/>
      <w:r w:rsidR="006F57EF"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7. Персональний склад МДК громади формується шляхом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делегування кожним суб’єктом виявлення та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іального захисту дітей свого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lastRenderedPageBreak/>
        <w:t>уповноваженого представника до її складу та затверджується рішенням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виконавчого комітету.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8. Члени МДК громади за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м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ісцем своєї роботи чи проживання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зобов’язані:</w:t>
      </w:r>
    </w:p>
    <w:p w:rsidR="006F57EF" w:rsidRPr="006F57EF" w:rsidRDefault="006F57EF" w:rsidP="00A85D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інформувати членів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трудового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колективу, організації, жителів</w:t>
      </w:r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населеного пункту про захист дітей від усіх форм насильства, у тому числі</w:t>
      </w:r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домашнього насильства, експлуатації, найгірших форм дитячої праці, інших</w:t>
      </w:r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проявів жорстокого поводження з дітьми, про ознаки вразливості та чинники,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що можуть призвести до загрози життю та здоров’ю дитини чи які можуть</w:t>
      </w:r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спричинити потрапляння дитини в складні життєві обставини, а також про</w:t>
      </w:r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першочергові дії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у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разі їх наявності;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організовувати своєчасне виявлення дітей, які мають ознаки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таких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, які перебувають у складних життєвих обставинах;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- реєструвати звернення і повідомлення стосовно дітей, які перебувають у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складних життєвих обставинах, в журналі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обл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іку із зазначенням інформації,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визначеної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у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пункт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 6 Порядку, затвердженого постановою № 585.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- організовувати в межах делегованих повноважень чи професійних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обов’язків надання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ідтримки дитині, яка перебуває в складних життєвих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обставинах;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інформувати службу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у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справах дітей про дітей, які перебувають в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складних життєвих обставинах;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- бр</w:t>
      </w:r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ати участь </w:t>
      </w:r>
      <w:proofErr w:type="gramStart"/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>у</w:t>
      </w:r>
      <w:proofErr w:type="gramEnd"/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роботі МДК випадку;</w:t>
      </w:r>
    </w:p>
    <w:p w:rsidR="006F57EF" w:rsidRPr="00467E3F" w:rsidRDefault="00467E3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</w:t>
      </w:r>
      <w:r w:rsidR="006F57EF"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зберігати конфіденційність інформації про дитину та її сімейну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6F57EF" w:rsidRPr="006F57EF">
        <w:rPr>
          <w:rFonts w:ascii="Times New Roman" w:hAnsi="Times New Roman" w:cs="Times New Roman"/>
          <w:kern w:val="0"/>
          <w:sz w:val="28"/>
          <w:szCs w:val="28"/>
        </w:rPr>
        <w:t>ситуацію.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9. Служба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у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справах дітей організовує роботу МДК громади, що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зокрема передбачає здійснення наступних заходів: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узагальнення пропозицій суб’єктів виявлення та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іального захисту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дітей щодо персонального складу МДК громади та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ідготовку подання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міському голові на затвердження;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- проведення інструктажу членів МДК громади щодо їх обов’язкі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в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,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та</w:t>
      </w:r>
      <w:proofErr w:type="gramEnd"/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організація їх навчання;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- прийом інформації від членів МДК громади щодо дітей, які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перебувають в складних життєвих обставинах, та ведення їх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обл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іку;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залучення членів МДК громади до здійснення оцінки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р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івня безпеки</w:t>
      </w:r>
    </w:p>
    <w:p w:rsidR="00467E3F" w:rsidRDefault="006F57EF" w:rsidP="00467E3F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:lang w:val="uk-UA"/>
        </w:rPr>
      </w:pP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</w:rPr>
        <w:t>дитини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</w:rPr>
        <w:t>;</w:t>
      </w:r>
      <w:r w:rsidR="00467E3F">
        <w:rPr>
          <w:rFonts w:ascii="Times New Roman" w:hAnsi="Times New Roman" w:cs="Times New Roman"/>
          <w:kern w:val="0"/>
          <w:sz w:val="28"/>
          <w:szCs w:val="28"/>
          <w:lang w:val="uk-UA"/>
        </w:rPr>
        <w:t xml:space="preserve"> </w:t>
      </w:r>
    </w:p>
    <w:p w:rsidR="006F57EF" w:rsidRPr="00467E3F" w:rsidRDefault="00467E3F" w:rsidP="00467E3F">
      <w:pPr>
        <w:spacing w:after="0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lang w:val="uk-UA"/>
        </w:rPr>
        <w:t xml:space="preserve">- </w:t>
      </w:r>
      <w:r w:rsidR="006F57EF"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формування персонального складу МДК випадку;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- координацію заходів із розробки і реалізації індивідуального плану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іального захисту дитини;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- організацію проведення засідань МДК громади;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представлення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р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ішення МДК випадку під час розгляду справи дитини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на засіданні комісії з питань захисту прав дитини;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lastRenderedPageBreak/>
        <w:t xml:space="preserve">- виконання представником служби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у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справах дітей обов’язків керівника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МДК випадку.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10. Служба у справах дітей у разі виявлення/отримання інформації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про дитину, яка перебуває у складних життєвих обставинах, не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ізніше ніж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протягом 2-х робочих днів формує із числа представників МДК громади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персональний склад МДК випадку для ведення випадку цієї дитини, видає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відповідний наказ, яким затверджує персональний склад МДК випадку, її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керівника та визначає основні цілі і завдання її роботи.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11. Персональний склад МДК випадку формується за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такими</w:t>
      </w:r>
      <w:proofErr w:type="gramEnd"/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основними критеріями: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територіальна наближеність до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м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ісця проживання/перебування дитини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(староста, фахівець з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іальної роботи, представник закладу дошкільної або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загальної середньої освіти, в якому навчається дитина, психолог, сімейний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л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ікар);</w:t>
      </w:r>
    </w:p>
    <w:p w:rsidR="006F57EF" w:rsidRPr="006F57EF" w:rsidRDefault="006F57EF" w:rsidP="00085A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- врахування ключової проблеми (у разі домашнього насильства, до групи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обов’язково ще включається дільничний офіцер поліції, психолог; у разі бідності, незадовільних умов проживання - представника відділу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іального захисту населення; у разі інвалідності чи ризику її набуття,</w:t>
      </w:r>
      <w:r w:rsidR="00085A83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наявності особливих освітніх потреб - представник ІРЦ).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обов’язково до групи МДК випадку входить представник служби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у</w:t>
      </w:r>
      <w:proofErr w:type="gramEnd"/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справах дітей, який, як правило, призначається керівником групи у випадках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жорстокого поводження з дитиною, домашнього насильства, нехтування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потребами дитини та невиконання батьківських обов’язків, в інших випадках,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не пов’язаних із загрозою для життя та здоров’я дитини, групу може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очолювати фахівець з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іальної роботи ЦСС, закріплений за дільницею, чи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староста, у разі віддаленості населеного пункту, де проживає дитина та її сім’я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 відсутності відповідного фахівця;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- до групи МДК випадку не може входити особа, яка сама є кривдником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чи зацікавленою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особою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, пов’язаною з однієї із сторін конфлікту, особа, яка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може бути причетною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своєю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діяльністю чи бездіяльністю до перебування</w:t>
      </w:r>
      <w:r w:rsidR="00085A83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дитини у складних життєвих обставинах, тощо;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кількісний склад МДК випадку складає 3-7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осіб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відповідно до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складності випадку;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- у разі потреби до роботи МДК випадку можуть долучатись інші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спеціалісти, в т.ч. із числа міських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ідрозділів та комунальних закладів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системи соціального захисту, освіти, охорони здоров’я, юстиції тощо.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12. Основними завданнями МДК випадку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є:</w:t>
      </w:r>
      <w:proofErr w:type="gramEnd"/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прийняття узгоджених дій та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р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ішень в інтересах конкретної дитини;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lastRenderedPageBreak/>
        <w:t>- аналіз інформації про дитину, її сім’ю, складні життєві обставини, в яких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вона перебува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є,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результатів оцінювання потреб дитини та її сім’ї у соціальних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послугах, здатності батьків здійснювати догляд та виховання дитини, рівня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виконання ними батьківських обов’язків;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- розроблення, виконання, систематичний (щоквартальний) перегляд і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корегування індивідуального плану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іального захисту дитини із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забезпеченням відповідності запланованих заходів інтересам дитини, а також</w:t>
      </w:r>
    </w:p>
    <w:p w:rsidR="006F57EF" w:rsidRPr="00467E3F" w:rsidRDefault="006F57EF" w:rsidP="00467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індивідуального плану надання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іальних послуг, у тому числі, плану</w:t>
      </w:r>
      <w:r w:rsidR="00467E3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</w:rPr>
        <w:t>соціального супроводу сім’ї дитини;</w:t>
      </w:r>
    </w:p>
    <w:p w:rsidR="006F57EF" w:rsidRPr="006F57EF" w:rsidRDefault="006F57EF" w:rsidP="00467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- ініціювання розгляду питання щодо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іального захисту дитини, яка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перебуває у складних життєвих обставинах, на засіданні комісії з питань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захисту прав дитини, зокрема щодо обов’язковості надання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іальних послуг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(проходження індивідуальних корекційних програм) особам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у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разі</w:t>
      </w:r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невиконання ними батьківських обов’язків, вчинення домашнього насильства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чи жорстокого поводження з дитиною.</w:t>
      </w:r>
    </w:p>
    <w:p w:rsidR="006F57EF" w:rsidRPr="006F57EF" w:rsidRDefault="006F57EF" w:rsidP="00A85D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13. Робота МДК випадку проводиться у формі засідань. Її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р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ішення</w:t>
      </w:r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оформляються протоколом, а питання щодо стану їх реалізації розглядається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на наступних засіданнях.</w:t>
      </w:r>
    </w:p>
    <w:p w:rsidR="006F57EF" w:rsidRPr="006F57EF" w:rsidRDefault="006F57EF" w:rsidP="00A85D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14. Члени МДК випадку здійснюють заходи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іального захисту відповідно до індивідуального плану соціального захисту дітей. Суб'єкти, які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є виконавцями індиві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дуального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плану, зобов'язані щоквартально (або на</w:t>
      </w:r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вимогу) надавати службі у справах дітей звіт про стан його виконання в межах</w:t>
      </w:r>
    </w:p>
    <w:p w:rsidR="006F57EF" w:rsidRPr="006F57EF" w:rsidRDefault="006F57EF" w:rsidP="006F5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своїх повноважень.</w:t>
      </w:r>
    </w:p>
    <w:p w:rsidR="006F57EF" w:rsidRPr="006F57EF" w:rsidRDefault="006F57EF" w:rsidP="00A85D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15. Контроль за діяльністю МДК випадку здійснює керівник служби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у</w:t>
      </w:r>
      <w:proofErr w:type="gramEnd"/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справах дітей.</w:t>
      </w:r>
    </w:p>
    <w:p w:rsidR="006F57EF" w:rsidRDefault="006F57EF" w:rsidP="00A85D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16. Контроль за діяльністю МДК громади здійснює заступник</w:t>
      </w:r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міського голови, до повноважень якого віднесені питання захисту прав дітей,</w:t>
      </w:r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координація роботи з питань </w:t>
      </w:r>
      <w:proofErr w:type="gramStart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соц</w:t>
      </w:r>
      <w:proofErr w:type="gramEnd"/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іального захисту дітей, які потрапили в</w:t>
      </w:r>
      <w:r w:rsidR="00A85D1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6F57EF">
        <w:rPr>
          <w:rFonts w:ascii="Times New Roman" w:hAnsi="Times New Roman" w:cs="Times New Roman"/>
          <w:kern w:val="0"/>
          <w:sz w:val="28"/>
          <w:szCs w:val="28"/>
          <w:lang w:val="ru-RU"/>
        </w:rPr>
        <w:t>складні життєві обставини, залишились без батьківського піклування</w:t>
      </w:r>
    </w:p>
    <w:p w:rsidR="00455CF5" w:rsidRDefault="00455CF5" w:rsidP="006F57EF">
      <w:pPr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455CF5" w:rsidRDefault="00455CF5" w:rsidP="006F57EF">
      <w:pPr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A85D1E" w:rsidRPr="006F57EF" w:rsidRDefault="00A85D1E" w:rsidP="006F57EF">
      <w:pPr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6F57EF" w:rsidRPr="00A85D1E" w:rsidRDefault="0003701F" w:rsidP="006F57EF">
      <w:pPr>
        <w:jc w:val="both"/>
        <w:rPr>
          <w:rFonts w:ascii="Times New Roman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0"/>
          <w:sz w:val="28"/>
          <w:szCs w:val="28"/>
          <w:lang w:val="uk-UA"/>
        </w:rPr>
        <w:t>Секретар виконавчого комітету</w:t>
      </w:r>
      <w:r w:rsidR="006F57EF" w:rsidRPr="006F57EF">
        <w:rPr>
          <w:rFonts w:ascii="Times New Roman" w:hAnsi="Times New Roman" w:cs="Times New Roman"/>
          <w:kern w:val="0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kern w:val="0"/>
          <w:sz w:val="28"/>
          <w:szCs w:val="28"/>
          <w:lang w:val="uk-UA"/>
        </w:rPr>
        <w:t xml:space="preserve">                                  </w:t>
      </w:r>
      <w:bookmarkStart w:id="0" w:name="_GoBack"/>
      <w:bookmarkEnd w:id="0"/>
      <w:r>
        <w:rPr>
          <w:rFonts w:ascii="Times New Roman" w:hAnsi="Times New Roman" w:cs="Times New Roman"/>
          <w:kern w:val="0"/>
          <w:sz w:val="28"/>
          <w:szCs w:val="28"/>
          <w:lang w:val="uk-UA"/>
        </w:rPr>
        <w:t xml:space="preserve"> Марія СТЕПАНКІВ</w:t>
      </w:r>
    </w:p>
    <w:p w:rsidR="006F57EF" w:rsidRDefault="006F57EF" w:rsidP="006F57EF">
      <w:pPr>
        <w:rPr>
          <w:rFonts w:cs="TimesNewRomanPSMT"/>
          <w:kern w:val="0"/>
          <w:sz w:val="28"/>
          <w:szCs w:val="28"/>
          <w:lang w:val="ru-RU"/>
        </w:rPr>
      </w:pPr>
    </w:p>
    <w:p w:rsidR="006F57EF" w:rsidRPr="006F57EF" w:rsidRDefault="006F57EF" w:rsidP="006F57EF">
      <w:pPr>
        <w:rPr>
          <w:lang w:val="ru-RU"/>
        </w:rPr>
      </w:pPr>
    </w:p>
    <w:sectPr w:rsidR="006F57EF" w:rsidRPr="006F57EF" w:rsidSect="0003701F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15"/>
    <w:rsid w:val="00010BE7"/>
    <w:rsid w:val="0003701F"/>
    <w:rsid w:val="00085A83"/>
    <w:rsid w:val="00192862"/>
    <w:rsid w:val="001E5D76"/>
    <w:rsid w:val="00455CF5"/>
    <w:rsid w:val="00467E3F"/>
    <w:rsid w:val="00504394"/>
    <w:rsid w:val="006F57EF"/>
    <w:rsid w:val="00737EC4"/>
    <w:rsid w:val="00A50864"/>
    <w:rsid w:val="00A85D1E"/>
    <w:rsid w:val="00BC009C"/>
    <w:rsid w:val="00D71F15"/>
    <w:rsid w:val="00E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8781</Words>
  <Characters>5006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user</cp:lastModifiedBy>
  <cp:revision>3</cp:revision>
  <dcterms:created xsi:type="dcterms:W3CDTF">2023-12-12T15:21:00Z</dcterms:created>
  <dcterms:modified xsi:type="dcterms:W3CDTF">2023-12-13T10:33:00Z</dcterms:modified>
</cp:coreProperties>
</file>