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31254" w14:textId="77777777" w:rsidR="001453E0" w:rsidRDefault="001453E0" w:rsidP="001453E0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279704DE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1E6BA1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1E6BA1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651254B8" w:rsidR="00B725DE" w:rsidRDefault="004A39DD">
      <w:pPr>
        <w:pStyle w:val="11"/>
      </w:pPr>
      <w:r>
        <w:t>надання згоди розпорядників земельних ділянок комунальної власності на поділ та об</w:t>
      </w:r>
      <w:r w:rsidR="00E00FE2">
        <w:rPr>
          <w:lang w:val="en-US"/>
        </w:rPr>
        <w:t>’</w:t>
      </w:r>
      <w:r>
        <w:t>єднання таких ділянок</w:t>
      </w:r>
      <w:r w:rsidR="002F0C0B">
        <w:t xml:space="preserve"> </w:t>
      </w:r>
      <w:r w:rsidR="004E0695">
        <w:t xml:space="preserve"> (00</w:t>
      </w:r>
      <w:r>
        <w:t>17</w:t>
      </w:r>
      <w:r w:rsidR="00890166">
        <w:t>8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1B42C8">
                              <w:trPr>
                                <w:gridAfter w:val="1"/>
                                <w:wAfter w:w="30" w:type="dxa"/>
                                <w:trHeight w:val="1155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2D4AAAD1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1B42C8">
                        <w:trPr>
                          <w:gridAfter w:val="1"/>
                          <w:wAfter w:w="30" w:type="dxa"/>
                          <w:trHeight w:val="1155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2D4AAAD1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Pr="0019752D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4FFF622" w14:textId="6B9F1C60" w:rsidR="0027053C" w:rsidRPr="0019752D" w:rsidRDefault="0027053C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</w:p>
          <w:p w14:paraId="637C2252" w14:textId="77777777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gram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Державного</w:t>
            </w:r>
            <w:proofErr w:type="gram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тру про </w:t>
            </w:r>
            <w:proofErr w:type="spellStart"/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земельну</w:t>
            </w:r>
            <w:proofErr w:type="spellEnd"/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ділянку</w:t>
            </w:r>
            <w:proofErr w:type="spellEnd"/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665D610F" w14:textId="6BDC194D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реєстрацію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права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власності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нерухоме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майно</w:t>
            </w:r>
            <w:proofErr w:type="spellEnd"/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>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5F115D53" w14:textId="67E15CAF" w:rsidR="009068FA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Догові</w:t>
            </w:r>
            <w:proofErr w:type="gram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земельної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ділянки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)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110FC315" w14:textId="5D10C24F" w:rsidR="009068FA" w:rsidRPr="0019752D" w:rsidRDefault="00976F6D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5.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.Для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особ</w:t>
            </w:r>
            <w:proofErr w:type="gram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и-</w:t>
            </w:r>
            <w:proofErr w:type="gram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документ,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посвідчує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особу, для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осіб</w:t>
            </w:r>
            <w:proofErr w:type="spellEnd"/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Єдиного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реєстру</w:t>
            </w:r>
            <w:proofErr w:type="spellEnd"/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осіб</w:t>
            </w:r>
            <w:proofErr w:type="spellEnd"/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4C73839D" w:rsidR="005E225E" w:rsidRPr="0019752D" w:rsidRDefault="00976F6D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6.</w:t>
            </w:r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Якщо </w:t>
            </w:r>
            <w:proofErr w:type="spellStart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подаються</w:t>
            </w:r>
            <w:proofErr w:type="spellEnd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особою, </w:t>
            </w:r>
            <w:proofErr w:type="spellStart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Паспорт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 w:rsidTr="00457CDE">
        <w:trPr>
          <w:trHeight w:val="1521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 w:rsidTr="00457CDE">
        <w:trPr>
          <w:trHeight w:val="2039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6C9A3229" w:rsidR="00DF3CA0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216517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BE33339" w14:textId="77777777" w:rsidR="0081062D" w:rsidRDefault="0065424A" w:rsidP="0081062D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1062D">
              <w:rPr>
                <w:sz w:val="24"/>
              </w:rPr>
              <w:t>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3630EEB2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457CDE">
        <w:trPr>
          <w:trHeight w:val="974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1FC1A29D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1B42C8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3A55EE95" w:rsidR="00B725DE" w:rsidRDefault="001B42C8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Неможливість поділу</w:t>
            </w:r>
            <w:r w:rsidR="00E00FE2">
              <w:rPr>
                <w:sz w:val="24"/>
              </w:rPr>
              <w:t xml:space="preserve"> чи об</w:t>
            </w:r>
            <w:r w:rsidR="00E00FE2">
              <w:rPr>
                <w:sz w:val="24"/>
                <w:lang w:val="en-US"/>
              </w:rPr>
              <w:t>’</w:t>
            </w:r>
            <w:r w:rsidR="00E00FE2">
              <w:rPr>
                <w:sz w:val="24"/>
              </w:rPr>
              <w:t xml:space="preserve">єднання </w:t>
            </w:r>
            <w:r>
              <w:rPr>
                <w:sz w:val="24"/>
              </w:rPr>
              <w:t xml:space="preserve"> даної земельної ділянки відповідно до чинного законодавства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3E5BB494" w:rsidR="002D1810" w:rsidRDefault="001B42C8" w:rsidP="001B42C8">
            <w:pPr>
              <w:pStyle w:val="TableParagraph"/>
              <w:tabs>
                <w:tab w:val="left" w:pos="540"/>
              </w:tabs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15238">
              <w:rPr>
                <w:sz w:val="24"/>
              </w:rPr>
              <w:t xml:space="preserve">Рішення про </w:t>
            </w:r>
            <w:r w:rsidR="00976F6D">
              <w:rPr>
                <w:sz w:val="24"/>
              </w:rPr>
              <w:t>надання дозволу на поділ земельної</w:t>
            </w:r>
            <w:r w:rsidR="007F1E7D">
              <w:rPr>
                <w:sz w:val="24"/>
              </w:rPr>
              <w:t xml:space="preserve"> ділянки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0429C311" w:rsidR="00B725DE" w:rsidRDefault="001B42C8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 уповноваженою особою,  через</w:t>
            </w:r>
            <w:r>
              <w:rPr>
                <w:sz w:val="24"/>
              </w:rPr>
              <w:tab/>
              <w:t xml:space="preserve"> центр надання адміністративних послуг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AFF2B" w14:textId="77777777" w:rsidR="00455151" w:rsidRDefault="00455151" w:rsidP="00B725DE">
      <w:r>
        <w:separator/>
      </w:r>
    </w:p>
  </w:endnote>
  <w:endnote w:type="continuationSeparator" w:id="0">
    <w:p w14:paraId="2913DD99" w14:textId="77777777" w:rsidR="00455151" w:rsidRDefault="00455151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9FB41" w14:textId="77777777" w:rsidR="00455151" w:rsidRDefault="00455151" w:rsidP="00B725DE">
      <w:r>
        <w:separator/>
      </w:r>
    </w:p>
  </w:footnote>
  <w:footnote w:type="continuationSeparator" w:id="0">
    <w:p w14:paraId="69796117" w14:textId="77777777" w:rsidR="00455151" w:rsidRDefault="00455151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53E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53E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272E6"/>
    <w:rsid w:val="001453E0"/>
    <w:rsid w:val="00192014"/>
    <w:rsid w:val="0019752D"/>
    <w:rsid w:val="001B42C8"/>
    <w:rsid w:val="001C7C1A"/>
    <w:rsid w:val="001E6BA1"/>
    <w:rsid w:val="0020546B"/>
    <w:rsid w:val="00214443"/>
    <w:rsid w:val="00216517"/>
    <w:rsid w:val="00223BE8"/>
    <w:rsid w:val="0027053C"/>
    <w:rsid w:val="00290ACC"/>
    <w:rsid w:val="00294466"/>
    <w:rsid w:val="002A07C1"/>
    <w:rsid w:val="002B3BDA"/>
    <w:rsid w:val="002C6C6E"/>
    <w:rsid w:val="002D1810"/>
    <w:rsid w:val="002D6FE9"/>
    <w:rsid w:val="002F0C0B"/>
    <w:rsid w:val="00367922"/>
    <w:rsid w:val="00384750"/>
    <w:rsid w:val="00391239"/>
    <w:rsid w:val="003B1354"/>
    <w:rsid w:val="003C317B"/>
    <w:rsid w:val="003D2215"/>
    <w:rsid w:val="00424EA7"/>
    <w:rsid w:val="004374C9"/>
    <w:rsid w:val="00455151"/>
    <w:rsid w:val="00457CDE"/>
    <w:rsid w:val="004724B8"/>
    <w:rsid w:val="004A39DD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19E8"/>
    <w:rsid w:val="005E225E"/>
    <w:rsid w:val="005E47C1"/>
    <w:rsid w:val="005F3AB5"/>
    <w:rsid w:val="0063112D"/>
    <w:rsid w:val="006462CA"/>
    <w:rsid w:val="0065424A"/>
    <w:rsid w:val="006B5BAF"/>
    <w:rsid w:val="007413DD"/>
    <w:rsid w:val="007A146E"/>
    <w:rsid w:val="007A150D"/>
    <w:rsid w:val="007C42B9"/>
    <w:rsid w:val="007E4903"/>
    <w:rsid w:val="007F1E7D"/>
    <w:rsid w:val="0081062D"/>
    <w:rsid w:val="00830E15"/>
    <w:rsid w:val="00861E5E"/>
    <w:rsid w:val="00862B61"/>
    <w:rsid w:val="00890166"/>
    <w:rsid w:val="00891050"/>
    <w:rsid w:val="008E6673"/>
    <w:rsid w:val="009037C1"/>
    <w:rsid w:val="009068FA"/>
    <w:rsid w:val="00946061"/>
    <w:rsid w:val="00976F6D"/>
    <w:rsid w:val="009959FF"/>
    <w:rsid w:val="00997C1F"/>
    <w:rsid w:val="00B54947"/>
    <w:rsid w:val="00B725DE"/>
    <w:rsid w:val="00BC11CE"/>
    <w:rsid w:val="00BE3656"/>
    <w:rsid w:val="00BE719F"/>
    <w:rsid w:val="00BF681E"/>
    <w:rsid w:val="00C15238"/>
    <w:rsid w:val="00C42F47"/>
    <w:rsid w:val="00CD5EF3"/>
    <w:rsid w:val="00D309BE"/>
    <w:rsid w:val="00D4059E"/>
    <w:rsid w:val="00D40D30"/>
    <w:rsid w:val="00DC0EEB"/>
    <w:rsid w:val="00DD1BF9"/>
    <w:rsid w:val="00DF3CA0"/>
    <w:rsid w:val="00E00FE2"/>
    <w:rsid w:val="00E55156"/>
    <w:rsid w:val="00E62EDB"/>
    <w:rsid w:val="00E63D59"/>
    <w:rsid w:val="00E64526"/>
    <w:rsid w:val="00EF560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202B-D67D-4FDB-98E7-2F7E274D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11</cp:revision>
  <cp:lastPrinted>2023-09-13T12:46:00Z</cp:lastPrinted>
  <dcterms:created xsi:type="dcterms:W3CDTF">2023-09-13T06:42:00Z</dcterms:created>
  <dcterms:modified xsi:type="dcterms:W3CDTF">2023-10-06T07:14:00Z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